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157B7" w14:textId="77777777" w:rsidR="006072D9" w:rsidRPr="00384D1F" w:rsidRDefault="006072D9" w:rsidP="00223413">
      <w:pPr>
        <w:rPr>
          <w:rFonts w:ascii="Calibri" w:hAnsi="Calibri"/>
          <w:b/>
        </w:rPr>
      </w:pPr>
      <w:r w:rsidRPr="00384D1F">
        <w:rPr>
          <w:rFonts w:ascii="Calibri" w:hAnsi="Calibri"/>
          <w:b/>
        </w:rPr>
        <w:t>POL 3013: SOUTH AFRICAN POLITICAL THOUGHT</w:t>
      </w:r>
    </w:p>
    <w:p w14:paraId="10AF079C" w14:textId="77777777" w:rsidR="006072D9" w:rsidRPr="00384D1F" w:rsidRDefault="006072D9" w:rsidP="00223413">
      <w:pPr>
        <w:rPr>
          <w:rFonts w:ascii="Calibri" w:hAnsi="Calibri"/>
          <w:b/>
        </w:rPr>
      </w:pPr>
      <w:r w:rsidRPr="00384D1F">
        <w:rPr>
          <w:rFonts w:ascii="Calibri" w:hAnsi="Calibri"/>
          <w:b/>
        </w:rPr>
        <w:t xml:space="preserve">LECTURE </w:t>
      </w:r>
      <w:r w:rsidR="00223413" w:rsidRPr="00384D1F">
        <w:rPr>
          <w:rFonts w:ascii="Calibri" w:hAnsi="Calibri"/>
          <w:b/>
        </w:rPr>
        <w:t xml:space="preserve">14: </w:t>
      </w:r>
      <w:r w:rsidR="00FA0711" w:rsidRPr="00384D1F">
        <w:rPr>
          <w:rFonts w:ascii="Calibri" w:hAnsi="Calibri"/>
          <w:b/>
        </w:rPr>
        <w:t xml:space="preserve">THE ORIGINS OF </w:t>
      </w:r>
      <w:r w:rsidR="00FA0711" w:rsidRPr="00384D1F">
        <w:rPr>
          <w:rFonts w:ascii="Calibri" w:hAnsi="Calibri"/>
          <w:b/>
          <w:i/>
        </w:rPr>
        <w:t>SATYAGRAHA</w:t>
      </w:r>
    </w:p>
    <w:p w14:paraId="25C3B661" w14:textId="77777777" w:rsidR="006072D9" w:rsidRPr="00384D1F" w:rsidRDefault="006072D9">
      <w:pPr>
        <w:rPr>
          <w:rFonts w:ascii="Calibri" w:hAnsi="Calibri"/>
        </w:rPr>
      </w:pPr>
    </w:p>
    <w:p w14:paraId="60385E62" w14:textId="77777777" w:rsidR="005D2608" w:rsidRPr="00384D1F" w:rsidRDefault="00804EF1" w:rsidP="00804EF1">
      <w:pPr>
        <w:rPr>
          <w:rFonts w:ascii="Calibri" w:hAnsi="Calibri"/>
        </w:rPr>
      </w:pPr>
      <w:r w:rsidRPr="00384D1F">
        <w:rPr>
          <w:rFonts w:ascii="Calibri" w:hAnsi="Calibri"/>
          <w:b/>
        </w:rPr>
        <w:t>1..</w:t>
      </w:r>
      <w:r w:rsidR="003157EA" w:rsidRPr="00384D1F">
        <w:rPr>
          <w:rFonts w:ascii="Calibri" w:hAnsi="Calibri"/>
          <w:b/>
        </w:rPr>
        <w:t>Civilization and the route to racial freedom</w:t>
      </w:r>
      <w:r w:rsidR="00FA0711" w:rsidRPr="00384D1F">
        <w:rPr>
          <w:rFonts w:ascii="Calibri" w:hAnsi="Calibri"/>
          <w:b/>
        </w:rPr>
        <w:t>:</w:t>
      </w:r>
      <w:r w:rsidR="0025701B" w:rsidRPr="00384D1F">
        <w:rPr>
          <w:rFonts w:ascii="Calibri" w:hAnsi="Calibri"/>
          <w:b/>
        </w:rPr>
        <w:t xml:space="preserve"> </w:t>
      </w:r>
      <w:r w:rsidR="00FA0711" w:rsidRPr="00384D1F">
        <w:rPr>
          <w:rFonts w:ascii="Calibri" w:hAnsi="Calibri"/>
        </w:rPr>
        <w:t xml:space="preserve">In his account of debates within the Indian community about the stance they should take on the South African War, Gandhi </w:t>
      </w:r>
      <w:r w:rsidR="00A26D15" w:rsidRPr="00384D1F">
        <w:rPr>
          <w:rFonts w:ascii="Calibri" w:hAnsi="Calibri"/>
        </w:rPr>
        <w:t xml:space="preserve">defends his </w:t>
      </w:r>
      <w:r w:rsidR="00FA0711" w:rsidRPr="00384D1F">
        <w:rPr>
          <w:rFonts w:ascii="Calibri" w:hAnsi="Calibri"/>
        </w:rPr>
        <w:t xml:space="preserve">faith in the British Empire. He thought the Empire would live up to its promise to uphold the rights of Indians, if Indians showed their loyalty to their Empire through such initiatives as the Indian Ambulance Corps. </w:t>
      </w:r>
      <w:r w:rsidR="003157EA" w:rsidRPr="00384D1F">
        <w:rPr>
          <w:rFonts w:ascii="Calibri" w:hAnsi="Calibri"/>
        </w:rPr>
        <w:t xml:space="preserve">Why did he maintain this faith, which was so frequently betrayed? One way to understand it is </w:t>
      </w:r>
      <w:r w:rsidR="00A14701" w:rsidRPr="00384D1F">
        <w:rPr>
          <w:rFonts w:ascii="Calibri" w:hAnsi="Calibri"/>
        </w:rPr>
        <w:t>on the basis of the prevalent liberal idea of the route to freedom and political rights for African and Asian subjects of colonial rule. Liberals (such as J.S. Mill, quoted in my paper</w:t>
      </w:r>
      <w:r w:rsidR="00A26D15" w:rsidRPr="00384D1F">
        <w:rPr>
          <w:rFonts w:ascii="Calibri" w:hAnsi="Calibri"/>
        </w:rPr>
        <w:t xml:space="preserve"> on Gandhi in SA</w:t>
      </w:r>
      <w:r w:rsidR="00A14701" w:rsidRPr="00384D1F">
        <w:rPr>
          <w:rFonts w:ascii="Calibri" w:hAnsi="Calibri"/>
        </w:rPr>
        <w:t>, pp. 4-5) held that colonial rule was justified as a means of guiding Africans and Asians to civilization, at which point they would be able to rule themselves. This idea was influential in movements to resist racial supremacy and colonial rule in South Africa and around the world.</w:t>
      </w:r>
    </w:p>
    <w:p w14:paraId="6D89C9D0" w14:textId="77777777" w:rsidR="00FA0711" w:rsidRPr="00384D1F" w:rsidRDefault="00FA0711">
      <w:pPr>
        <w:rPr>
          <w:rFonts w:ascii="Calibri" w:hAnsi="Calibri"/>
        </w:rPr>
      </w:pPr>
    </w:p>
    <w:p w14:paraId="5A102633" w14:textId="77777777" w:rsidR="005D2608" w:rsidRPr="00384D1F" w:rsidRDefault="00804EF1">
      <w:pPr>
        <w:rPr>
          <w:rFonts w:ascii="Calibri" w:hAnsi="Calibri"/>
        </w:rPr>
      </w:pPr>
      <w:r w:rsidRPr="00384D1F">
        <w:rPr>
          <w:rFonts w:ascii="Calibri" w:hAnsi="Calibri"/>
          <w:b/>
        </w:rPr>
        <w:t xml:space="preserve">2. </w:t>
      </w:r>
      <w:r w:rsidR="00A14701" w:rsidRPr="00384D1F">
        <w:rPr>
          <w:rFonts w:ascii="Calibri" w:hAnsi="Calibri"/>
          <w:b/>
        </w:rPr>
        <w:t>“India’s honour is in our keeping</w:t>
      </w:r>
      <w:r w:rsidR="0025701B" w:rsidRPr="00384D1F">
        <w:rPr>
          <w:rFonts w:ascii="Calibri" w:hAnsi="Calibri"/>
          <w:b/>
        </w:rPr>
        <w:t>”</w:t>
      </w:r>
      <w:r w:rsidR="00DC68B8" w:rsidRPr="00384D1F">
        <w:rPr>
          <w:rFonts w:ascii="Calibri" w:hAnsi="Calibri"/>
          <w:b/>
        </w:rPr>
        <w:t xml:space="preserve">: </w:t>
      </w:r>
      <w:r w:rsidR="00124CAC" w:rsidRPr="00384D1F">
        <w:rPr>
          <w:rFonts w:ascii="Calibri" w:hAnsi="Calibri"/>
        </w:rPr>
        <w:t>Gandhi describes the proposed Asiatic Law Amendment Ordinance, initiated by the British government of the Transvaal Colony (the renamed republic). It required th</w:t>
      </w:r>
      <w:r w:rsidR="00223413" w:rsidRPr="00384D1F">
        <w:rPr>
          <w:rFonts w:ascii="Calibri" w:hAnsi="Calibri"/>
        </w:rPr>
        <w:t>at</w:t>
      </w:r>
      <w:r w:rsidR="00124CAC" w:rsidRPr="00384D1F">
        <w:rPr>
          <w:rFonts w:ascii="Calibri" w:hAnsi="Calibri"/>
        </w:rPr>
        <w:t xml:space="preserve"> all Indians register as residents of the Transvaal and carry their certificate of registration with them at all times and made </w:t>
      </w:r>
      <w:r w:rsidR="00793B86" w:rsidRPr="00384D1F">
        <w:rPr>
          <w:rFonts w:ascii="Calibri" w:hAnsi="Calibri"/>
        </w:rPr>
        <w:t>failure to produce this certificate on demand</w:t>
      </w:r>
      <w:r w:rsidR="00124CAC" w:rsidRPr="00384D1F">
        <w:rPr>
          <w:rFonts w:ascii="Calibri" w:hAnsi="Calibri"/>
        </w:rPr>
        <w:t xml:space="preserve"> a criminal offence, punishable with fines, imprisonment or deportation. </w:t>
      </w:r>
      <w:r w:rsidR="00793B86" w:rsidRPr="00384D1F">
        <w:rPr>
          <w:rFonts w:ascii="Calibri" w:hAnsi="Calibri"/>
        </w:rPr>
        <w:t>Gandhi emphasizes the blow inflicted on the status of Indians rather than the effects of the legislation in controlling Indian labour, mobility, etc. He resents Lionel Curtis’s refusal to seek registration through mutual agreement (pp. 130-31), stresses the harm done to “free men” rather than indentured servants (p. 137), and describes the legislation as a humiliation to which South African Indians must response by defending the honour of India (p. 138).</w:t>
      </w:r>
    </w:p>
    <w:p w14:paraId="38965343" w14:textId="77777777" w:rsidR="005670BC" w:rsidRPr="00384D1F" w:rsidRDefault="005670BC">
      <w:pPr>
        <w:rPr>
          <w:rFonts w:ascii="Calibri" w:hAnsi="Calibri"/>
        </w:rPr>
      </w:pPr>
    </w:p>
    <w:p w14:paraId="7A04F7EB" w14:textId="77777777" w:rsidR="007F77AE" w:rsidRPr="00384D1F" w:rsidRDefault="00804EF1" w:rsidP="00DC68B8">
      <w:pPr>
        <w:rPr>
          <w:rFonts w:ascii="Calibri" w:hAnsi="Calibri"/>
        </w:rPr>
      </w:pPr>
      <w:r w:rsidRPr="00384D1F">
        <w:rPr>
          <w:rFonts w:ascii="Calibri" w:hAnsi="Calibri"/>
          <w:b/>
        </w:rPr>
        <w:t xml:space="preserve">3. </w:t>
      </w:r>
      <w:r w:rsidR="00702F4D" w:rsidRPr="00384D1F">
        <w:rPr>
          <w:rFonts w:ascii="Calibri" w:hAnsi="Calibri"/>
          <w:b/>
        </w:rPr>
        <w:t xml:space="preserve">“Our existence in South Africa </w:t>
      </w:r>
      <w:r w:rsidR="00793B86" w:rsidRPr="00384D1F">
        <w:rPr>
          <w:rFonts w:ascii="Calibri" w:hAnsi="Calibri"/>
          <w:b/>
        </w:rPr>
        <w:t>depends upon us fully observing this resolution</w:t>
      </w:r>
      <w:r w:rsidR="00702F4D" w:rsidRPr="00384D1F">
        <w:rPr>
          <w:rFonts w:ascii="Calibri" w:hAnsi="Calibri"/>
          <w:b/>
        </w:rPr>
        <w:t>”</w:t>
      </w:r>
      <w:r w:rsidR="00DC68B8" w:rsidRPr="00384D1F">
        <w:rPr>
          <w:rFonts w:ascii="Calibri" w:hAnsi="Calibri"/>
          <w:b/>
        </w:rPr>
        <w:t xml:space="preserve">: </w:t>
      </w:r>
      <w:r w:rsidR="00702F4D" w:rsidRPr="00384D1F">
        <w:rPr>
          <w:rFonts w:ascii="Calibri" w:hAnsi="Calibri"/>
        </w:rPr>
        <w:t xml:space="preserve">Gandhi </w:t>
      </w:r>
      <w:r w:rsidR="00793B86" w:rsidRPr="00384D1F">
        <w:rPr>
          <w:rFonts w:ascii="Calibri" w:hAnsi="Calibri"/>
        </w:rPr>
        <w:t xml:space="preserve">was involved in calling the meeting of 11 September 1906 at which the proposed legislation was to be discussed. </w:t>
      </w:r>
      <w:r w:rsidR="00777F3D" w:rsidRPr="00384D1F">
        <w:rPr>
          <w:rFonts w:ascii="Calibri" w:hAnsi="Calibri"/>
        </w:rPr>
        <w:t xml:space="preserve">The idea which gives rise to the strategy of </w:t>
      </w:r>
      <w:r w:rsidR="00777F3D" w:rsidRPr="00384D1F">
        <w:rPr>
          <w:rFonts w:ascii="Calibri" w:hAnsi="Calibri"/>
          <w:i/>
        </w:rPr>
        <w:t>satyagraha</w:t>
      </w:r>
      <w:r w:rsidR="00777F3D" w:rsidRPr="00384D1F">
        <w:rPr>
          <w:rFonts w:ascii="Calibri" w:hAnsi="Calibri"/>
        </w:rPr>
        <w:t>, according to Gandhi, was Sheth Haji Habib’s proposal that the meeting pa</w:t>
      </w:r>
      <w:r w:rsidR="00223413" w:rsidRPr="00384D1F">
        <w:rPr>
          <w:rFonts w:ascii="Calibri" w:hAnsi="Calibri"/>
        </w:rPr>
        <w:t>s</w:t>
      </w:r>
      <w:r w:rsidR="00777F3D" w:rsidRPr="00384D1F">
        <w:rPr>
          <w:rFonts w:ascii="Calibri" w:hAnsi="Calibri"/>
        </w:rPr>
        <w:t xml:space="preserve">s </w:t>
      </w:r>
      <w:r w:rsidR="00223413" w:rsidRPr="00384D1F">
        <w:rPr>
          <w:rFonts w:ascii="Calibri" w:hAnsi="Calibri"/>
        </w:rPr>
        <w:t>a</w:t>
      </w:r>
      <w:r w:rsidR="00777F3D" w:rsidRPr="00384D1F">
        <w:rPr>
          <w:rFonts w:ascii="Calibri" w:hAnsi="Calibri"/>
        </w:rPr>
        <w:t xml:space="preserve"> resolution not to obey the ordinance “with God as witness” (p. 141). </w:t>
      </w:r>
      <w:r w:rsidR="004B6A3B" w:rsidRPr="00384D1F">
        <w:rPr>
          <w:rFonts w:ascii="Calibri" w:hAnsi="Calibri"/>
        </w:rPr>
        <w:t>Gandhi explains the gravity of this proposal, presenting it as an entirely new departure for Indian politics, on which “our existence in South Africa depends” (p. 143; cf. p. 97, where Indian existence in SA depends on their being British subjects). This is because breaking an oath made before God results in forfeiting one’s “manhood” (p. 144).</w:t>
      </w:r>
    </w:p>
    <w:p w14:paraId="2BA7F69F" w14:textId="77777777" w:rsidR="00C209F9" w:rsidRPr="00384D1F" w:rsidRDefault="00C209F9" w:rsidP="00DC68B8">
      <w:pPr>
        <w:rPr>
          <w:rFonts w:ascii="Calibri" w:hAnsi="Calibri"/>
        </w:rPr>
      </w:pPr>
    </w:p>
    <w:p w14:paraId="65ACFC2A" w14:textId="77777777" w:rsidR="00C209F9" w:rsidRPr="00384D1F" w:rsidRDefault="00804EF1" w:rsidP="00DC68B8">
      <w:pPr>
        <w:rPr>
          <w:rFonts w:ascii="Calibri" w:hAnsi="Calibri"/>
        </w:rPr>
      </w:pPr>
      <w:r w:rsidRPr="00384D1F">
        <w:rPr>
          <w:rFonts w:ascii="Calibri" w:hAnsi="Calibri"/>
          <w:b/>
        </w:rPr>
        <w:t xml:space="preserve">4. </w:t>
      </w:r>
      <w:r w:rsidR="00C209F9" w:rsidRPr="00384D1F">
        <w:rPr>
          <w:rFonts w:ascii="Calibri" w:hAnsi="Calibri"/>
          <w:b/>
        </w:rPr>
        <w:t>Satyagraha a</w:t>
      </w:r>
      <w:r w:rsidR="004B6A3B" w:rsidRPr="00384D1F">
        <w:rPr>
          <w:rFonts w:ascii="Calibri" w:hAnsi="Calibri"/>
          <w:b/>
        </w:rPr>
        <w:t>s a new route to equal</w:t>
      </w:r>
      <w:r w:rsidR="00DB6984" w:rsidRPr="00384D1F">
        <w:rPr>
          <w:rFonts w:ascii="Calibri" w:hAnsi="Calibri"/>
          <w:b/>
        </w:rPr>
        <w:t xml:space="preserve"> rights</w:t>
      </w:r>
      <w:r w:rsidR="004B6A3B" w:rsidRPr="00384D1F">
        <w:rPr>
          <w:rFonts w:ascii="Calibri" w:hAnsi="Calibri"/>
          <w:b/>
        </w:rPr>
        <w:t>:</w:t>
      </w:r>
      <w:r w:rsidR="00C209F9" w:rsidRPr="00384D1F">
        <w:rPr>
          <w:rFonts w:ascii="Calibri" w:hAnsi="Calibri"/>
        </w:rPr>
        <w:t xml:space="preserve"> </w:t>
      </w:r>
      <w:r w:rsidR="004B6A3B" w:rsidRPr="00384D1F">
        <w:rPr>
          <w:rFonts w:ascii="Calibri" w:hAnsi="Calibri"/>
        </w:rPr>
        <w:t xml:space="preserve">We can understand Gandhi’s argument as proposing a new test of the level of development of the Indian resisters. </w:t>
      </w:r>
      <w:r w:rsidR="00A81B9F" w:rsidRPr="00384D1F">
        <w:rPr>
          <w:rFonts w:ascii="Calibri" w:hAnsi="Calibri"/>
        </w:rPr>
        <w:t xml:space="preserve">On the one hand, it accepts the idea that there is a given path of human development (perhaps not </w:t>
      </w:r>
      <w:r w:rsidR="00A26D15" w:rsidRPr="00384D1F">
        <w:rPr>
          <w:rFonts w:ascii="Calibri" w:hAnsi="Calibri"/>
        </w:rPr>
        <w:t xml:space="preserve">always </w:t>
      </w:r>
      <w:r w:rsidR="00A81B9F" w:rsidRPr="00384D1F">
        <w:rPr>
          <w:rFonts w:ascii="Calibri" w:hAnsi="Calibri"/>
        </w:rPr>
        <w:t xml:space="preserve">called civilization, but not in conflict with it) which leads to readiness for political rights. On the other, it implicitly rejects the idea that the British (or whichever other global ruling class) can set the criteria for who has reached that point, and decide when they are to be tested. </w:t>
      </w:r>
      <w:r w:rsidR="00A81B9F" w:rsidRPr="00384D1F">
        <w:rPr>
          <w:rFonts w:ascii="Calibri" w:hAnsi="Calibri"/>
          <w:i/>
        </w:rPr>
        <w:t>Satyagraha</w:t>
      </w:r>
      <w:r w:rsidR="00A81B9F" w:rsidRPr="00384D1F">
        <w:rPr>
          <w:rFonts w:ascii="Calibri" w:hAnsi="Calibri"/>
        </w:rPr>
        <w:t xml:space="preserve"> allows colonized people to put themselves to the test, to develop their moral capacities through willing self-sacrifice in the cause of justice, and thus demonstrate their readiness for inclusion in the rights of citizenship. </w:t>
      </w:r>
    </w:p>
    <w:p w14:paraId="3852BF42" w14:textId="77777777" w:rsidR="00C209F9" w:rsidRPr="00384D1F" w:rsidRDefault="00C209F9" w:rsidP="00DC68B8">
      <w:pPr>
        <w:rPr>
          <w:rFonts w:ascii="Calibri" w:hAnsi="Calibri"/>
        </w:rPr>
      </w:pPr>
    </w:p>
    <w:p w14:paraId="5980254F" w14:textId="77777777" w:rsidR="00223413" w:rsidRPr="00384D1F" w:rsidRDefault="00804EF1" w:rsidP="00DC68B8">
      <w:pPr>
        <w:rPr>
          <w:rFonts w:ascii="Calibri" w:hAnsi="Calibri"/>
        </w:rPr>
      </w:pPr>
      <w:r w:rsidRPr="00384D1F">
        <w:rPr>
          <w:rFonts w:ascii="Calibri" w:hAnsi="Calibri"/>
          <w:b/>
        </w:rPr>
        <w:t xml:space="preserve">5. </w:t>
      </w:r>
      <w:r w:rsidR="00223413" w:rsidRPr="00384D1F">
        <w:rPr>
          <w:rFonts w:ascii="Calibri" w:hAnsi="Calibri"/>
          <w:b/>
        </w:rPr>
        <w:t>Assessment:</w:t>
      </w:r>
      <w:r w:rsidR="00223413" w:rsidRPr="00384D1F">
        <w:rPr>
          <w:rFonts w:ascii="Calibri" w:hAnsi="Calibri"/>
        </w:rPr>
        <w:t xml:space="preserve"> </w:t>
      </w:r>
      <w:r w:rsidRPr="00384D1F">
        <w:rPr>
          <w:rFonts w:ascii="Calibri" w:hAnsi="Calibri"/>
        </w:rPr>
        <w:t xml:space="preserve">Did this strategy work? It depends on which of its aims you use to judge it. Gandhi won some reforms in South Africa, and created a movement—mainly among working-class Indians, rather than merchants, etc. </w:t>
      </w:r>
      <w:r w:rsidR="000030D0" w:rsidRPr="00384D1F">
        <w:rPr>
          <w:rFonts w:ascii="Calibri" w:hAnsi="Calibri"/>
        </w:rPr>
        <w:t xml:space="preserve">But he came to develop a far-reaching critique of Western (or modern) civilization a few years later (in </w:t>
      </w:r>
      <w:r w:rsidR="000030D0" w:rsidRPr="00384D1F">
        <w:rPr>
          <w:rFonts w:ascii="Calibri" w:hAnsi="Calibri"/>
          <w:i/>
        </w:rPr>
        <w:t>Hind Swaraj</w:t>
      </w:r>
      <w:r w:rsidR="000030D0" w:rsidRPr="00384D1F">
        <w:rPr>
          <w:rFonts w:ascii="Calibri" w:hAnsi="Calibri"/>
        </w:rPr>
        <w:t>, 1909), which he saw as a major obstacle to his fundamental aims of truth and nonviolence.</w:t>
      </w:r>
    </w:p>
    <w:sectPr w:rsidR="00223413" w:rsidRPr="00384D1F" w:rsidSect="000030D0">
      <w:headerReference w:type="even" r:id="rId8"/>
      <w:headerReference w:type="default" r:id="rId9"/>
      <w:footerReference w:type="even" r:id="rId10"/>
      <w:footerReference w:type="default" r:id="rId11"/>
      <w:headerReference w:type="first" r:id="rId12"/>
      <w:footerReference w:type="first" r:id="rId13"/>
      <w:pgSz w:w="11906" w:h="16838"/>
      <w:pgMar w:top="1191" w:right="1077" w:bottom="1191"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97DEB" w14:textId="77777777" w:rsidR="00B72996" w:rsidRDefault="00B72996" w:rsidP="00B72996">
      <w:r>
        <w:separator/>
      </w:r>
    </w:p>
  </w:endnote>
  <w:endnote w:type="continuationSeparator" w:id="0">
    <w:p w14:paraId="09A6327A" w14:textId="77777777" w:rsidR="00B72996" w:rsidRDefault="00B72996" w:rsidP="00B7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2D9E68" w14:textId="77777777" w:rsidR="00572E7A" w:rsidRDefault="00572E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C4FA87" w14:textId="729D51AA" w:rsidR="00B72996" w:rsidRDefault="00572E7A">
    <w:pPr>
      <w:pStyle w:val="Footer"/>
    </w:pPr>
    <w:r>
      <w:rPr>
        <w:noProof/>
        <w:lang w:val="en-US" w:eastAsia="en-US"/>
      </w:rPr>
      <w:pict w14:anchorId="76516A1F">
        <v:shapetype id="_x0000_t202" coordsize="21600,21600" o:spt="202" path="m0,0l0,21600,21600,21600,21600,0xe">
          <v:stroke joinstyle="miter"/>
          <v:path gradientshapeok="t" o:connecttype="rect"/>
        </v:shapetype>
        <v:shape id="_x0000_s2049" type="#_x0000_t202" style="position:absolute;margin-left:.15pt;margin-top:-4.1pt;width:106.45pt;height:45.4pt;z-index:251658240;mso-wrap-style:none" filled="f" stroked="f">
          <v:fill o:detectmouseclick="t"/>
          <v:textbox style="mso-fit-shape-to-text:t" inset=",7.2pt,,7.2pt">
            <w:txbxContent>
              <w:p w14:paraId="76374C28" w14:textId="77777777" w:rsidR="00B72996" w:rsidRDefault="00572E7A" w:rsidP="00B72996">
                <w:r>
                  <w:pict w14:anchorId="25603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31pt">
                      <v:imagedata r:id="rId1" o:title="cc-by.png"/>
                    </v:shape>
                  </w:pict>
                </w:r>
              </w:p>
            </w:txbxContent>
          </v:textbox>
        </v:shape>
      </w:pict>
    </w:r>
    <w:r>
      <w:rPr>
        <w:noProof/>
        <w:lang w:val="en-US" w:eastAsia="en-US"/>
      </w:rPr>
      <w:pict w14:anchorId="7DBCA7F4">
        <v:shape id="_x0000_s2050" type="#_x0000_t202" style="position:absolute;margin-left:99.15pt;margin-top:-4.1pt;width:405pt;height:54pt;z-index:251659264" filled="f" stroked="f">
          <v:fill o:detectmouseclick="t"/>
          <v:textbox inset=",7.2pt,,7.2pt">
            <w:txbxContent>
              <w:p w14:paraId="4271A466" w14:textId="624EF6B7" w:rsidR="00B72996" w:rsidRPr="00626D56" w:rsidRDefault="00B72996" w:rsidP="00B72996">
                <w:pPr>
                  <w:pStyle w:val="NormalWeb"/>
                  <w:spacing w:before="0" w:beforeAutospacing="0" w:after="0" w:afterAutospacing="0"/>
                  <w:rPr>
                    <w:rFonts w:ascii="Calibri" w:hAnsi="Calibri"/>
                    <w:sz w:val="18"/>
                    <w:szCs w:val="18"/>
                  </w:rPr>
                </w:pPr>
                <w:r w:rsidRPr="00626D56">
                  <w:rPr>
                    <w:rFonts w:ascii="Calibri" w:hAnsi="Calibri"/>
                    <w:color w:val="000000"/>
                    <w:kern w:val="24"/>
                    <w:sz w:val="18"/>
                    <w:szCs w:val="18"/>
                    <w:lang w:val="en-ZA"/>
                  </w:rPr>
                  <w:t xml:space="preserve">This lesson plan is licenced under the Creative Commons Attribution South Africa License. To view a copy of this licence, visit </w:t>
                </w:r>
                <w:bookmarkStart w:id="0" w:name="_GoBack"/>
                <w:bookmarkEnd w:id="0"/>
                <w:r w:rsidR="00572E7A">
                  <w:rPr>
                    <w:rFonts w:ascii="Calibri" w:hAnsi="Calibri"/>
                    <w:bCs/>
                    <w:kern w:val="24"/>
                    <w:sz w:val="18"/>
                    <w:szCs w:val="18"/>
                    <w:lang w:val="en-ZA"/>
                  </w:rPr>
                  <w:fldChar w:fldCharType="begin"/>
                </w:r>
                <w:r w:rsidR="00572E7A">
                  <w:rPr>
                    <w:rFonts w:ascii="Calibri" w:hAnsi="Calibri"/>
                    <w:bCs/>
                    <w:kern w:val="24"/>
                    <w:sz w:val="18"/>
                    <w:szCs w:val="18"/>
                    <w:lang w:val="en-ZA"/>
                  </w:rPr>
                  <w:instrText xml:space="preserve"> HYPERLINK "</w:instrText>
                </w:r>
                <w:r w:rsidR="00572E7A" w:rsidRPr="00572E7A">
                  <w:rPr>
                    <w:rFonts w:ascii="Calibri" w:hAnsi="Calibri"/>
                    <w:bCs/>
                    <w:kern w:val="24"/>
                    <w:sz w:val="18"/>
                    <w:szCs w:val="18"/>
                    <w:lang w:val="en-ZA"/>
                  </w:rPr>
                  <w:instrText>http://creativecommons.org/licenses/by/2.5/za/</w:instrText>
                </w:r>
                <w:r w:rsidR="00572E7A">
                  <w:rPr>
                    <w:rFonts w:ascii="Calibri" w:hAnsi="Calibri"/>
                    <w:bCs/>
                    <w:kern w:val="24"/>
                    <w:sz w:val="18"/>
                    <w:szCs w:val="18"/>
                    <w:lang w:val="en-ZA"/>
                  </w:rPr>
                  <w:instrText xml:space="preserve">" </w:instrText>
                </w:r>
                <w:r w:rsidR="00572E7A">
                  <w:rPr>
                    <w:rFonts w:ascii="Calibri" w:hAnsi="Calibri"/>
                    <w:bCs/>
                    <w:kern w:val="24"/>
                    <w:sz w:val="18"/>
                    <w:szCs w:val="18"/>
                    <w:lang w:val="en-ZA"/>
                  </w:rPr>
                  <w:fldChar w:fldCharType="separate"/>
                </w:r>
                <w:r w:rsidR="00572E7A" w:rsidRPr="008765F1">
                  <w:rPr>
                    <w:rStyle w:val="Hyperlink"/>
                    <w:rFonts w:ascii="Calibri" w:hAnsi="Calibri"/>
                    <w:bCs/>
                    <w:kern w:val="24"/>
                    <w:sz w:val="18"/>
                    <w:szCs w:val="18"/>
                    <w:lang w:val="en-ZA"/>
                  </w:rPr>
                  <w:t>http://creativecommons.org/licenses/by/2.5/za/</w:t>
                </w:r>
                <w:r w:rsidR="00572E7A">
                  <w:rPr>
                    <w:rFonts w:ascii="Calibri" w:hAnsi="Calibri"/>
                    <w:bCs/>
                    <w:kern w:val="24"/>
                    <w:sz w:val="18"/>
                    <w:szCs w:val="18"/>
                    <w:lang w:val="en-ZA"/>
                  </w:rPr>
                  <w:fldChar w:fldCharType="end"/>
                </w:r>
                <w:r w:rsidRPr="00626D56">
                  <w:rPr>
                    <w:rFonts w:ascii="Calibri" w:hAnsi="Calibri"/>
                    <w:bCs/>
                    <w:color w:val="FF0000"/>
                    <w:kern w:val="24"/>
                    <w:sz w:val="18"/>
                    <w:szCs w:val="18"/>
                    <w:lang w:val="en-ZA"/>
                  </w:rPr>
                  <w:t> </w:t>
                </w:r>
              </w:p>
              <w:p w14:paraId="1CBCBF4A" w14:textId="77777777" w:rsidR="00B72996" w:rsidRPr="00626D56" w:rsidRDefault="00B72996" w:rsidP="00B72996">
                <w:pPr>
                  <w:pStyle w:val="NormalWeb"/>
                  <w:spacing w:before="0" w:beforeAutospacing="0" w:after="0" w:afterAutospacing="0"/>
                  <w:rPr>
                    <w:rFonts w:ascii="Calibri" w:hAnsi="Calibri"/>
                    <w:sz w:val="18"/>
                    <w:szCs w:val="18"/>
                  </w:rPr>
                </w:pPr>
                <w:r w:rsidRPr="00626D56">
                  <w:rPr>
                    <w:rFonts w:ascii="Calibri" w:hAnsi="Calibri"/>
                    <w:color w:val="000000"/>
                    <w:kern w:val="24"/>
                    <w:sz w:val="18"/>
                    <w:szCs w:val="18"/>
                    <w:lang w:val="en-ZA"/>
                  </w:rPr>
                  <w:t>Or send a letter to Creative Commons, 171 Second Street, Suite 300, San Francisco, California 94105, USA.</w:t>
                </w:r>
              </w:p>
              <w:p w14:paraId="10033262" w14:textId="77777777" w:rsidR="00B72996" w:rsidRDefault="00B72996" w:rsidP="00B72996"/>
            </w:txbxContent>
          </v:textbox>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2D6210" w14:textId="77777777" w:rsidR="00572E7A" w:rsidRDefault="00572E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0A0C7" w14:textId="77777777" w:rsidR="00B72996" w:rsidRDefault="00B72996" w:rsidP="00B72996">
      <w:r>
        <w:separator/>
      </w:r>
    </w:p>
  </w:footnote>
  <w:footnote w:type="continuationSeparator" w:id="0">
    <w:p w14:paraId="774BA480" w14:textId="77777777" w:rsidR="00B72996" w:rsidRDefault="00B72996" w:rsidP="00B729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334147" w14:textId="77777777" w:rsidR="00572E7A" w:rsidRDefault="00572E7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215376" w14:textId="77777777" w:rsidR="00572E7A" w:rsidRDefault="00572E7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002DC0" w14:textId="77777777" w:rsidR="00572E7A" w:rsidRDefault="00572E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D1700"/>
    <w:multiLevelType w:val="hybridMultilevel"/>
    <w:tmpl w:val="61DA793A"/>
    <w:lvl w:ilvl="0" w:tplc="2520967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2D9"/>
    <w:rsid w:val="000030D0"/>
    <w:rsid w:val="00124CAC"/>
    <w:rsid w:val="00223413"/>
    <w:rsid w:val="00253A05"/>
    <w:rsid w:val="0025701B"/>
    <w:rsid w:val="002D07A5"/>
    <w:rsid w:val="002F29F2"/>
    <w:rsid w:val="003157EA"/>
    <w:rsid w:val="00384D1F"/>
    <w:rsid w:val="00417F1D"/>
    <w:rsid w:val="004B6A3B"/>
    <w:rsid w:val="00550A65"/>
    <w:rsid w:val="005670BC"/>
    <w:rsid w:val="00572E7A"/>
    <w:rsid w:val="0058673C"/>
    <w:rsid w:val="005D2608"/>
    <w:rsid w:val="006072D9"/>
    <w:rsid w:val="00660E20"/>
    <w:rsid w:val="006A66DF"/>
    <w:rsid w:val="00702F4D"/>
    <w:rsid w:val="00770C3B"/>
    <w:rsid w:val="00777F3D"/>
    <w:rsid w:val="00793B86"/>
    <w:rsid w:val="007A74F5"/>
    <w:rsid w:val="007F77AE"/>
    <w:rsid w:val="00804EF1"/>
    <w:rsid w:val="00A02426"/>
    <w:rsid w:val="00A14701"/>
    <w:rsid w:val="00A26D15"/>
    <w:rsid w:val="00A81B9F"/>
    <w:rsid w:val="00AD3C53"/>
    <w:rsid w:val="00B72996"/>
    <w:rsid w:val="00BA4980"/>
    <w:rsid w:val="00C209F9"/>
    <w:rsid w:val="00CC3657"/>
    <w:rsid w:val="00DB6984"/>
    <w:rsid w:val="00DC68B8"/>
    <w:rsid w:val="00E74864"/>
    <w:rsid w:val="00FA0711"/>
    <w:rsid w:val="00FE2E1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D18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1B9F"/>
    <w:rPr>
      <w:rFonts w:ascii="Tahoma" w:hAnsi="Tahoma" w:cs="Tahoma"/>
      <w:sz w:val="16"/>
      <w:szCs w:val="16"/>
    </w:rPr>
  </w:style>
  <w:style w:type="paragraph" w:styleId="Header">
    <w:name w:val="header"/>
    <w:basedOn w:val="Normal"/>
    <w:link w:val="HeaderChar"/>
    <w:rsid w:val="00B72996"/>
    <w:pPr>
      <w:tabs>
        <w:tab w:val="center" w:pos="4320"/>
        <w:tab w:val="right" w:pos="8640"/>
      </w:tabs>
    </w:pPr>
  </w:style>
  <w:style w:type="character" w:customStyle="1" w:styleId="HeaderChar">
    <w:name w:val="Header Char"/>
    <w:basedOn w:val="DefaultParagraphFont"/>
    <w:link w:val="Header"/>
    <w:rsid w:val="00B72996"/>
    <w:rPr>
      <w:sz w:val="24"/>
      <w:szCs w:val="24"/>
    </w:rPr>
  </w:style>
  <w:style w:type="paragraph" w:styleId="Footer">
    <w:name w:val="footer"/>
    <w:basedOn w:val="Normal"/>
    <w:link w:val="FooterChar"/>
    <w:rsid w:val="00B72996"/>
    <w:pPr>
      <w:tabs>
        <w:tab w:val="center" w:pos="4320"/>
        <w:tab w:val="right" w:pos="8640"/>
      </w:tabs>
    </w:pPr>
  </w:style>
  <w:style w:type="character" w:customStyle="1" w:styleId="FooterChar">
    <w:name w:val="Footer Char"/>
    <w:basedOn w:val="DefaultParagraphFont"/>
    <w:link w:val="Footer"/>
    <w:rsid w:val="00B72996"/>
    <w:rPr>
      <w:sz w:val="24"/>
      <w:szCs w:val="24"/>
    </w:rPr>
  </w:style>
  <w:style w:type="character" w:styleId="Hyperlink">
    <w:name w:val="Hyperlink"/>
    <w:uiPriority w:val="99"/>
    <w:unhideWhenUsed/>
    <w:rsid w:val="00B72996"/>
    <w:rPr>
      <w:color w:val="0000FF"/>
      <w:u w:val="single"/>
    </w:rPr>
  </w:style>
  <w:style w:type="paragraph" w:styleId="NormalWeb">
    <w:name w:val="Normal (Web)"/>
    <w:basedOn w:val="Normal"/>
    <w:uiPriority w:val="99"/>
    <w:unhideWhenUsed/>
    <w:rsid w:val="00B72996"/>
    <w:pPr>
      <w:spacing w:before="100" w:beforeAutospacing="1" w:after="100" w:afterAutospacing="1"/>
    </w:pPr>
    <w:rPr>
      <w:rFonts w:ascii="Times" w:eastAsia="ＭＳ 明朝" w:hAnsi="Times"/>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588</Words>
  <Characters>3356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POL 3013: SOUTH AFRICAN POLITICAL THOUGHT</vt:lpstr>
    </vt:vector>
  </TitlesOfParts>
  <Company>University of Cape Town</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 3013: SOUTH AFRICAN POLITICAL THOUGHT</dc:title>
  <dc:creator>New Win User</dc:creator>
  <cp:lastModifiedBy>Neil Berry</cp:lastModifiedBy>
  <cp:revision>8</cp:revision>
  <cp:lastPrinted>2013-08-06T08:37:00Z</cp:lastPrinted>
  <dcterms:created xsi:type="dcterms:W3CDTF">2013-08-06T08:22:00Z</dcterms:created>
  <dcterms:modified xsi:type="dcterms:W3CDTF">2014-04-22T14:35:00Z</dcterms:modified>
</cp:coreProperties>
</file>